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6F34E" w14:textId="77777777" w:rsidR="004C3F23" w:rsidRPr="004C3F23" w:rsidRDefault="004C3F23" w:rsidP="004C3F23">
      <w:pPr>
        <w:pStyle w:val="Heading2"/>
        <w:spacing w:before="0"/>
        <w:rPr>
          <w:rFonts w:ascii="Calibri" w:hAnsi="Calibri" w:cs="Calibri"/>
          <w:color w:val="170052"/>
          <w:sz w:val="22"/>
          <w:szCs w:val="22"/>
        </w:rPr>
      </w:pPr>
      <w:r w:rsidRPr="004C3F23">
        <w:rPr>
          <w:rFonts w:ascii="Calibri" w:hAnsi="Calibri" w:cs="Calibri"/>
          <w:color w:val="170052"/>
          <w:sz w:val="22"/>
          <w:szCs w:val="22"/>
        </w:rPr>
        <w:t>Appendix C – Disclosures of Personal Information with Third Parties</w:t>
      </w:r>
    </w:p>
    <w:p w14:paraId="4630A68A" w14:textId="77777777" w:rsidR="004C3F23" w:rsidRPr="004C3F23" w:rsidRDefault="004C3F23" w:rsidP="004C3F23">
      <w:pPr>
        <w:spacing w:before="100" w:beforeAutospacing="1" w:after="100" w:afterAutospacing="1"/>
        <w:rPr>
          <w:rFonts w:eastAsia="Times New Roman" w:cs="Calibri"/>
          <w:lang w:eastAsia="en-AU"/>
        </w:rPr>
      </w:pPr>
      <w:r w:rsidRPr="004C3F23">
        <w:rPr>
          <w:rFonts w:eastAsia="Times New Roman" w:cs="Calibri"/>
          <w:lang w:eastAsia="en-AU"/>
        </w:rPr>
        <w:t xml:space="preserve">We may share your personal information with third parties </w:t>
      </w:r>
      <w:bookmarkStart w:id="0" w:name="_Hlk165284794"/>
      <w:r w:rsidRPr="004C3F23">
        <w:rPr>
          <w:rFonts w:eastAsia="Times New Roman" w:cs="Calibri"/>
          <w:lang w:eastAsia="en-AU"/>
        </w:rPr>
        <w:t>where appropriate f</w:t>
      </w:r>
      <w:bookmarkStart w:id="1" w:name="_Hlk165285057"/>
      <w:r w:rsidRPr="004C3F23">
        <w:rPr>
          <w:rFonts w:eastAsia="Times New Roman" w:cs="Calibri"/>
          <w:lang w:eastAsia="en-AU"/>
        </w:rPr>
        <w:t xml:space="preserve">or the </w:t>
      </w:r>
      <w:bookmarkEnd w:id="0"/>
      <w:r w:rsidRPr="004C3F23">
        <w:rPr>
          <w:rFonts w:eastAsia="Times New Roman" w:cs="Calibri"/>
          <w:lang w:eastAsia="en-AU"/>
        </w:rPr>
        <w:t>purposes set out below, including but not limited to:</w:t>
      </w:r>
      <w:bookmarkEnd w:id="1"/>
    </w:p>
    <w:p w14:paraId="5371E69B" w14:textId="77777777" w:rsidR="004C3F23" w:rsidRPr="004C3F23" w:rsidRDefault="004C3F23" w:rsidP="004C3F23">
      <w:pPr>
        <w:numPr>
          <w:ilvl w:val="0"/>
          <w:numId w:val="5"/>
        </w:numPr>
        <w:spacing w:before="100" w:beforeAutospacing="1" w:after="100" w:afterAutospacing="1"/>
        <w:rPr>
          <w:rFonts w:eastAsia="Times New Roman" w:cs="Calibri"/>
          <w:lang w:eastAsia="en-AU"/>
        </w:rPr>
      </w:pPr>
      <w:r w:rsidRPr="004C3F23">
        <w:rPr>
          <w:rFonts w:eastAsia="Times New Roman" w:cs="Calibri"/>
          <w:lang w:eastAsia="en-AU"/>
        </w:rPr>
        <w:t xml:space="preserve">Financial institutes for payment </w:t>
      </w:r>
      <w:proofErr w:type="gramStart"/>
      <w:r w:rsidRPr="004C3F23">
        <w:rPr>
          <w:rFonts w:eastAsia="Times New Roman" w:cs="Calibri"/>
          <w:lang w:eastAsia="en-AU"/>
        </w:rPr>
        <w:t>processing;</w:t>
      </w:r>
      <w:proofErr w:type="gramEnd"/>
    </w:p>
    <w:p w14:paraId="53A8A66B" w14:textId="77777777" w:rsidR="004C3F23" w:rsidRPr="004C3F23" w:rsidRDefault="004C3F23" w:rsidP="004C3F23">
      <w:pPr>
        <w:numPr>
          <w:ilvl w:val="0"/>
          <w:numId w:val="5"/>
        </w:numPr>
        <w:spacing w:before="100" w:beforeAutospacing="1" w:after="100" w:afterAutospacing="1"/>
        <w:rPr>
          <w:rFonts w:eastAsia="Times New Roman" w:cs="Calibri"/>
          <w:lang w:eastAsia="en-AU"/>
        </w:rPr>
      </w:pPr>
      <w:r w:rsidRPr="004C3F23">
        <w:rPr>
          <w:rFonts w:eastAsia="Times New Roman" w:cs="Calibri"/>
          <w:lang w:eastAsia="en-AU"/>
        </w:rPr>
        <w:t xml:space="preserve">Regulatory, investigative, law enforcement or government bodies as required by </w:t>
      </w:r>
      <w:proofErr w:type="gramStart"/>
      <w:r w:rsidRPr="004C3F23">
        <w:rPr>
          <w:rFonts w:eastAsia="Times New Roman" w:cs="Calibri"/>
          <w:lang w:eastAsia="en-AU"/>
        </w:rPr>
        <w:t>law;</w:t>
      </w:r>
      <w:proofErr w:type="gramEnd"/>
    </w:p>
    <w:p w14:paraId="0805361C" w14:textId="77777777" w:rsidR="004C3F23" w:rsidRPr="004C3F23" w:rsidRDefault="004C3F23" w:rsidP="004C3F23">
      <w:pPr>
        <w:numPr>
          <w:ilvl w:val="0"/>
          <w:numId w:val="5"/>
        </w:numPr>
        <w:spacing w:before="100" w:beforeAutospacing="1" w:after="100" w:afterAutospacing="1"/>
        <w:rPr>
          <w:rFonts w:eastAsia="Times New Roman" w:cs="Calibri"/>
          <w:lang w:eastAsia="en-AU"/>
        </w:rPr>
      </w:pPr>
      <w:r w:rsidRPr="004C3F23">
        <w:rPr>
          <w:rFonts w:eastAsia="Times New Roman" w:cs="Calibri"/>
          <w:lang w:eastAsia="en-AU"/>
        </w:rPr>
        <w:t xml:space="preserve">Referees whose details are provided to us by job </w:t>
      </w:r>
      <w:proofErr w:type="gramStart"/>
      <w:r w:rsidRPr="004C3F23">
        <w:rPr>
          <w:rFonts w:eastAsia="Times New Roman" w:cs="Calibri"/>
          <w:lang w:eastAsia="en-AU"/>
        </w:rPr>
        <w:t>applicants;</w:t>
      </w:r>
      <w:proofErr w:type="gramEnd"/>
    </w:p>
    <w:p w14:paraId="4AF97E7A" w14:textId="77777777" w:rsidR="004C3F23" w:rsidRPr="004C3F23" w:rsidRDefault="004C3F23" w:rsidP="004C3F23">
      <w:pPr>
        <w:numPr>
          <w:ilvl w:val="0"/>
          <w:numId w:val="5"/>
        </w:numPr>
        <w:spacing w:before="100" w:beforeAutospacing="1" w:after="100" w:afterAutospacing="1"/>
        <w:rPr>
          <w:rFonts w:eastAsia="Times New Roman" w:cs="Calibri"/>
          <w:lang w:eastAsia="en-AU"/>
        </w:rPr>
      </w:pPr>
      <w:r w:rsidRPr="004C3F23">
        <w:rPr>
          <w:rFonts w:eastAsia="Times New Roman" w:cs="Calibri"/>
          <w:lang w:eastAsia="en-AU"/>
        </w:rPr>
        <w:t xml:space="preserve">Other educational institutes and educational partners, some of which are overseas, including educational </w:t>
      </w:r>
      <w:proofErr w:type="gramStart"/>
      <w:r w:rsidRPr="004C3F23">
        <w:rPr>
          <w:rFonts w:eastAsia="Times New Roman" w:cs="Calibri"/>
          <w:lang w:eastAsia="en-AU"/>
        </w:rPr>
        <w:t>agents;</w:t>
      </w:r>
      <w:proofErr w:type="gramEnd"/>
    </w:p>
    <w:p w14:paraId="6075F1E6" w14:textId="77777777" w:rsidR="004C3F23" w:rsidRPr="004C3F23" w:rsidRDefault="004C3F23" w:rsidP="004C3F23">
      <w:pPr>
        <w:numPr>
          <w:ilvl w:val="0"/>
          <w:numId w:val="5"/>
        </w:numPr>
        <w:spacing w:before="100" w:beforeAutospacing="1" w:after="100" w:afterAutospacing="1"/>
        <w:rPr>
          <w:rFonts w:eastAsia="Times New Roman" w:cs="Calibri"/>
          <w:lang w:eastAsia="en-AU"/>
        </w:rPr>
      </w:pPr>
      <w:r w:rsidRPr="004C3F23">
        <w:rPr>
          <w:rFonts w:eastAsia="Times New Roman" w:cs="Calibri"/>
          <w:lang w:eastAsia="en-AU"/>
        </w:rPr>
        <w:t xml:space="preserve">Pre-enrolment testing </w:t>
      </w:r>
      <w:proofErr w:type="gramStart"/>
      <w:r w:rsidRPr="004C3F23">
        <w:rPr>
          <w:rFonts w:eastAsia="Times New Roman" w:cs="Calibri"/>
          <w:lang w:eastAsia="en-AU"/>
        </w:rPr>
        <w:t>providers;</w:t>
      </w:r>
      <w:proofErr w:type="gramEnd"/>
    </w:p>
    <w:p w14:paraId="27CDEDC1" w14:textId="77777777" w:rsidR="004C3F23" w:rsidRPr="004C3F23" w:rsidRDefault="004C3F23" w:rsidP="004C3F23">
      <w:pPr>
        <w:numPr>
          <w:ilvl w:val="0"/>
          <w:numId w:val="5"/>
        </w:numPr>
        <w:spacing w:before="100" w:beforeAutospacing="1" w:after="100" w:afterAutospacing="1"/>
        <w:rPr>
          <w:rFonts w:eastAsia="Times New Roman" w:cs="Calibri"/>
          <w:lang w:eastAsia="en-AU"/>
        </w:rPr>
      </w:pPr>
      <w:r w:rsidRPr="004C3F23">
        <w:rPr>
          <w:rFonts w:eastAsia="Times New Roman" w:cs="Calibri"/>
          <w:lang w:eastAsia="en-AU"/>
        </w:rPr>
        <w:t xml:space="preserve">Employers when students are undertaking </w:t>
      </w:r>
      <w:proofErr w:type="gramStart"/>
      <w:r w:rsidRPr="004C3F23">
        <w:rPr>
          <w:rFonts w:eastAsia="Times New Roman" w:cs="Calibri"/>
          <w:lang w:eastAsia="en-AU"/>
        </w:rPr>
        <w:t>apprenticeships;</w:t>
      </w:r>
      <w:proofErr w:type="gramEnd"/>
    </w:p>
    <w:p w14:paraId="2226DFDB" w14:textId="77777777" w:rsidR="004C3F23" w:rsidRPr="004C3F23" w:rsidRDefault="004C3F23" w:rsidP="004C3F23">
      <w:pPr>
        <w:numPr>
          <w:ilvl w:val="0"/>
          <w:numId w:val="5"/>
        </w:numPr>
        <w:spacing w:before="100" w:beforeAutospacing="1" w:after="100" w:afterAutospacing="1"/>
        <w:rPr>
          <w:rFonts w:eastAsia="Times New Roman" w:cs="Calibri"/>
          <w:lang w:eastAsia="en-AU"/>
        </w:rPr>
      </w:pPr>
      <w:r w:rsidRPr="004C3F23">
        <w:rPr>
          <w:rFonts w:eastAsia="Times New Roman" w:cs="Calibri"/>
          <w:lang w:eastAsia="en-AU"/>
        </w:rPr>
        <w:t>Our contracted service providers or partners assisting MP to conduct its activities, including overseas and local agents, information technology service providers (such as Adobe, Google and Microsoft), records management service providers, venues and event organisers, marketing and communication agencies, research and statistical analysis providers, call centres, hard copy and electronic mailing providers, professional advisers (such as recruitment advisers, auditors, accountants, insurers, and lawyers), and externally hosted applications and software subscriptions.</w:t>
      </w:r>
    </w:p>
    <w:p w14:paraId="486686C3" w14:textId="77777777" w:rsidR="004C3F23" w:rsidRPr="004C3F23" w:rsidRDefault="004C3F23" w:rsidP="004C3F23">
      <w:pPr>
        <w:spacing w:before="100" w:beforeAutospacing="1" w:after="100" w:afterAutospacing="1"/>
        <w:rPr>
          <w:rFonts w:eastAsia="Times New Roman" w:cs="Calibri"/>
          <w:lang w:eastAsia="en-AU"/>
        </w:rPr>
      </w:pPr>
      <w:r w:rsidRPr="004C3F23">
        <w:rPr>
          <w:rFonts w:eastAsia="Times New Roman" w:cs="Calibri"/>
          <w:lang w:eastAsia="en-AU"/>
        </w:rPr>
        <w:t>Some of these recipients may be located outside of Victoria or Australia, which means that your personal information may be transferred interstate or overseas (trans-border), including but not limited to:</w:t>
      </w:r>
    </w:p>
    <w:p w14:paraId="204CB524" w14:textId="77777777" w:rsidR="004C3F23" w:rsidRPr="004C3F23" w:rsidRDefault="004C3F23" w:rsidP="004C3F23">
      <w:pPr>
        <w:numPr>
          <w:ilvl w:val="0"/>
          <w:numId w:val="6"/>
        </w:numPr>
        <w:spacing w:before="100" w:beforeAutospacing="1" w:after="100" w:afterAutospacing="1"/>
        <w:rPr>
          <w:rFonts w:eastAsia="Times New Roman" w:cs="Calibri"/>
          <w:lang w:eastAsia="en-AU"/>
        </w:rPr>
      </w:pPr>
      <w:r w:rsidRPr="004C3F23">
        <w:rPr>
          <w:rFonts w:eastAsia="Times New Roman" w:cs="Calibri"/>
          <w:lang w:eastAsia="en-AU"/>
        </w:rPr>
        <w:t>Countries in the European Union, such as the UK, Germany and Spain</w:t>
      </w:r>
    </w:p>
    <w:p w14:paraId="39CDF8CD" w14:textId="77777777" w:rsidR="004C3F23" w:rsidRPr="004C3F23" w:rsidRDefault="004C3F23" w:rsidP="004C3F23">
      <w:pPr>
        <w:numPr>
          <w:ilvl w:val="0"/>
          <w:numId w:val="6"/>
        </w:numPr>
        <w:spacing w:before="100" w:beforeAutospacing="1" w:after="100" w:afterAutospacing="1"/>
        <w:rPr>
          <w:rFonts w:eastAsia="Times New Roman" w:cs="Calibri"/>
          <w:lang w:eastAsia="en-AU"/>
        </w:rPr>
      </w:pPr>
      <w:proofErr w:type="gramStart"/>
      <w:r w:rsidRPr="004C3F23">
        <w:rPr>
          <w:rFonts w:eastAsia="Times New Roman" w:cs="Calibri"/>
          <w:lang w:eastAsia="en-AU"/>
        </w:rPr>
        <w:t>Singapore;</w:t>
      </w:r>
      <w:proofErr w:type="gramEnd"/>
    </w:p>
    <w:p w14:paraId="2DCE9855" w14:textId="77777777" w:rsidR="004C3F23" w:rsidRPr="004C3F23" w:rsidRDefault="004C3F23" w:rsidP="004C3F23">
      <w:pPr>
        <w:numPr>
          <w:ilvl w:val="0"/>
          <w:numId w:val="6"/>
        </w:numPr>
        <w:spacing w:before="100" w:beforeAutospacing="1" w:after="100" w:afterAutospacing="1"/>
        <w:rPr>
          <w:rFonts w:eastAsia="Times New Roman" w:cs="Calibri"/>
          <w:lang w:eastAsia="en-AU"/>
        </w:rPr>
      </w:pPr>
      <w:r w:rsidRPr="004C3F23">
        <w:rPr>
          <w:rFonts w:eastAsia="Times New Roman" w:cs="Calibri"/>
          <w:lang w:eastAsia="en-AU"/>
        </w:rPr>
        <w:t>India</w:t>
      </w:r>
    </w:p>
    <w:p w14:paraId="69B6AFC5" w14:textId="77777777" w:rsidR="004C3F23" w:rsidRPr="004C3F23" w:rsidRDefault="004C3F23" w:rsidP="004C3F23">
      <w:pPr>
        <w:numPr>
          <w:ilvl w:val="0"/>
          <w:numId w:val="6"/>
        </w:numPr>
        <w:spacing w:before="100" w:beforeAutospacing="1" w:after="100" w:afterAutospacing="1"/>
        <w:rPr>
          <w:rFonts w:eastAsia="Times New Roman" w:cs="Calibri"/>
          <w:lang w:eastAsia="en-AU"/>
        </w:rPr>
      </w:pPr>
      <w:r w:rsidRPr="004C3F23">
        <w:rPr>
          <w:rFonts w:eastAsia="Times New Roman" w:cs="Calibri"/>
          <w:lang w:eastAsia="en-AU"/>
        </w:rPr>
        <w:t>Vietnam</w:t>
      </w:r>
    </w:p>
    <w:p w14:paraId="20820FEE" w14:textId="77777777" w:rsidR="004C3F23" w:rsidRPr="004C3F23" w:rsidRDefault="004C3F23" w:rsidP="004C3F23">
      <w:pPr>
        <w:numPr>
          <w:ilvl w:val="0"/>
          <w:numId w:val="6"/>
        </w:numPr>
        <w:spacing w:before="100" w:beforeAutospacing="1" w:after="100" w:afterAutospacing="1"/>
        <w:rPr>
          <w:rFonts w:eastAsia="Times New Roman" w:cs="Calibri"/>
          <w:lang w:eastAsia="en-AU"/>
        </w:rPr>
      </w:pPr>
      <w:r w:rsidRPr="004C3F23">
        <w:rPr>
          <w:rFonts w:eastAsia="Times New Roman" w:cs="Calibri"/>
          <w:lang w:eastAsia="en-AU"/>
        </w:rPr>
        <w:t xml:space="preserve">Other countries in </w:t>
      </w:r>
      <w:proofErr w:type="gramStart"/>
      <w:r w:rsidRPr="004C3F23">
        <w:rPr>
          <w:rFonts w:eastAsia="Times New Roman" w:cs="Calibri"/>
          <w:lang w:eastAsia="en-AU"/>
        </w:rPr>
        <w:t>Asia;</w:t>
      </w:r>
      <w:proofErr w:type="gramEnd"/>
    </w:p>
    <w:p w14:paraId="38A9DE80" w14:textId="77777777" w:rsidR="004C3F23" w:rsidRPr="004C3F23" w:rsidRDefault="004C3F23" w:rsidP="004C3F23">
      <w:pPr>
        <w:numPr>
          <w:ilvl w:val="0"/>
          <w:numId w:val="6"/>
        </w:numPr>
        <w:spacing w:before="100" w:beforeAutospacing="1" w:after="100" w:afterAutospacing="1"/>
        <w:rPr>
          <w:rFonts w:eastAsia="Times New Roman" w:cs="Calibri"/>
          <w:lang w:eastAsia="en-AU"/>
        </w:rPr>
      </w:pPr>
      <w:r w:rsidRPr="004C3F23">
        <w:rPr>
          <w:rFonts w:eastAsia="Times New Roman" w:cs="Calibri"/>
          <w:lang w:eastAsia="en-AU"/>
        </w:rPr>
        <w:t>The United States.</w:t>
      </w:r>
    </w:p>
    <w:p w14:paraId="67C9A173" w14:textId="77777777" w:rsidR="004C3F23" w:rsidRPr="004C3F23" w:rsidRDefault="004C3F23" w:rsidP="004C3F23">
      <w:pPr>
        <w:spacing w:before="100" w:beforeAutospacing="1" w:after="100" w:afterAutospacing="1"/>
        <w:rPr>
          <w:rFonts w:eastAsia="Times New Roman" w:cs="Calibri"/>
          <w:lang w:eastAsia="en-AU"/>
        </w:rPr>
      </w:pPr>
      <w:r w:rsidRPr="004C3F23">
        <w:rPr>
          <w:rFonts w:eastAsia="Times New Roman" w:cs="Calibri"/>
          <w:lang w:eastAsia="en-AU"/>
        </w:rPr>
        <w:t>Where we transfer your personal information to a recipient outside of Victoria or Australia, we take reasonable steps to ensure the recipient handles the information in accordance with this Privacy Statement, our Policies, and the relevant privacy and Victorian health information principles. </w:t>
      </w:r>
    </w:p>
    <w:p w14:paraId="0C0533B4" w14:textId="77777777" w:rsidR="007F79FD" w:rsidRPr="004C3F23" w:rsidRDefault="007F79FD" w:rsidP="004C3F23">
      <w:pPr>
        <w:rPr>
          <w:rFonts w:cs="Calibri"/>
        </w:rPr>
      </w:pPr>
    </w:p>
    <w:sectPr w:rsidR="007F79FD" w:rsidRPr="004C3F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1B4AC" w14:textId="77777777" w:rsidR="00FA426E" w:rsidRDefault="00FA426E" w:rsidP="007F79FD">
      <w:r>
        <w:separator/>
      </w:r>
    </w:p>
  </w:endnote>
  <w:endnote w:type="continuationSeparator" w:id="0">
    <w:p w14:paraId="62F84AEB" w14:textId="77777777" w:rsidR="00FA426E" w:rsidRDefault="00FA426E" w:rsidP="007F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FBD27" w14:textId="77777777" w:rsidR="00FA426E" w:rsidRDefault="00FA426E" w:rsidP="007F79FD">
      <w:r>
        <w:separator/>
      </w:r>
    </w:p>
  </w:footnote>
  <w:footnote w:type="continuationSeparator" w:id="0">
    <w:p w14:paraId="0664EC1C" w14:textId="77777777" w:rsidR="00FA426E" w:rsidRDefault="00FA426E" w:rsidP="007F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1207B" w14:textId="7678C5C1" w:rsidR="007F79FD" w:rsidRDefault="007F79FD">
    <w:pPr>
      <w:pStyle w:val="Header"/>
    </w:pPr>
    <w:r>
      <w:tab/>
    </w:r>
    <w:r>
      <w:tab/>
    </w:r>
    <w:r w:rsidRPr="00F95E89">
      <w:rPr>
        <w:noProof/>
        <w:lang w:eastAsia="en-AU"/>
      </w:rPr>
      <w:drawing>
        <wp:inline distT="0" distB="0" distL="0" distR="0" wp14:anchorId="6078E0E8" wp14:editId="53F4B9B2">
          <wp:extent cx="2054225" cy="450215"/>
          <wp:effectExtent l="0" t="0" r="0" b="0"/>
          <wp:docPr id="1769175425" name="Picture 176917542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75425" name="Picture 1769175425"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450215"/>
                  </a:xfrm>
                  <a:prstGeom prst="rect">
                    <a:avLst/>
                  </a:prstGeom>
                  <a:noFill/>
                  <a:ln>
                    <a:noFill/>
                  </a:ln>
                </pic:spPr>
              </pic:pic>
            </a:graphicData>
          </a:graphic>
        </wp:inline>
      </w:drawing>
    </w:r>
  </w:p>
  <w:p w14:paraId="5AF2E5EE" w14:textId="77777777" w:rsidR="007F79FD" w:rsidRDefault="007F79FD">
    <w:pPr>
      <w:pStyle w:val="Header"/>
    </w:pPr>
  </w:p>
  <w:p w14:paraId="1DCF436E" w14:textId="77777777" w:rsidR="007F79FD" w:rsidRDefault="007F79FD" w:rsidP="007F79FD">
    <w:pPr>
      <w:pStyle w:val="Header"/>
      <w:rPr>
        <w:rStyle w:val="Heading1Char"/>
        <w:rFonts w:ascii="Calibri" w:eastAsia="Calibri" w:hAnsi="Calibri" w:cs="Calibri"/>
        <w:color w:val="000066"/>
        <w:sz w:val="28"/>
        <w:szCs w:val="28"/>
      </w:rPr>
    </w:pPr>
    <w:r w:rsidRPr="007F79FD">
      <w:rPr>
        <w:rStyle w:val="Heading1Char"/>
        <w:rFonts w:ascii="Calibri" w:eastAsia="Calibri" w:hAnsi="Calibri" w:cs="Calibri"/>
        <w:color w:val="000066"/>
        <w:sz w:val="28"/>
        <w:szCs w:val="28"/>
      </w:rPr>
      <w:t>Privacy Policy</w:t>
    </w:r>
  </w:p>
  <w:p w14:paraId="4F32DBBE" w14:textId="77777777" w:rsidR="007F79FD" w:rsidRPr="007F79FD" w:rsidRDefault="007F79FD" w:rsidP="007F79FD">
    <w:pPr>
      <w:pStyle w:val="Header"/>
      <w:pBdr>
        <w:bottom w:val="single" w:sz="4" w:space="1" w:color="auto"/>
      </w:pBdr>
      <w:rPr>
        <w:rFonts w:cs="Calibri"/>
        <w:b/>
        <w:bCs/>
        <w:color w:val="000066"/>
        <w:sz w:val="4"/>
        <w:szCs w:val="4"/>
      </w:rPr>
    </w:pPr>
  </w:p>
  <w:p w14:paraId="213E4ECC" w14:textId="77777777" w:rsidR="007F79FD" w:rsidRDefault="007F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F7C40"/>
    <w:multiLevelType w:val="hybridMultilevel"/>
    <w:tmpl w:val="5DE6C1C0"/>
    <w:lvl w:ilvl="0" w:tplc="0C090019">
      <w:start w:val="1"/>
      <w:numFmt w:val="lowerLetter"/>
      <w:lvlText w:val="%1."/>
      <w:lvlJc w:val="lef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CF79B2"/>
    <w:multiLevelType w:val="hybridMultilevel"/>
    <w:tmpl w:val="1B86334C"/>
    <w:lvl w:ilvl="0" w:tplc="0C090019">
      <w:start w:val="1"/>
      <w:numFmt w:val="lowerLetter"/>
      <w:lvlText w:val="%1."/>
      <w:lvlJc w:val="left"/>
      <w:pPr>
        <w:ind w:left="2160" w:hanging="18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160CE4"/>
    <w:multiLevelType w:val="multilevel"/>
    <w:tmpl w:val="531E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C1E72"/>
    <w:multiLevelType w:val="multilevel"/>
    <w:tmpl w:val="520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C3354"/>
    <w:multiLevelType w:val="hybridMultilevel"/>
    <w:tmpl w:val="C1462B82"/>
    <w:lvl w:ilvl="0" w:tplc="5C14E7A2">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387AE1"/>
    <w:multiLevelType w:val="hybridMultilevel"/>
    <w:tmpl w:val="A0D8176A"/>
    <w:lvl w:ilvl="0" w:tplc="0C09000F">
      <w:start w:val="1"/>
      <w:numFmt w:val="decimal"/>
      <w:lvlText w:val="%1."/>
      <w:lvlJc w:val="left"/>
      <w:pPr>
        <w:ind w:left="1495"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9042051">
    <w:abstractNumId w:val="5"/>
  </w:num>
  <w:num w:numId="2" w16cid:durableId="1824544380">
    <w:abstractNumId w:val="1"/>
  </w:num>
  <w:num w:numId="3" w16cid:durableId="954366469">
    <w:abstractNumId w:val="0"/>
  </w:num>
  <w:num w:numId="4" w16cid:durableId="679550306">
    <w:abstractNumId w:val="4"/>
  </w:num>
  <w:num w:numId="5" w16cid:durableId="1052273578">
    <w:abstractNumId w:val="2"/>
  </w:num>
  <w:num w:numId="6" w16cid:durableId="939415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FD"/>
    <w:rsid w:val="00067261"/>
    <w:rsid w:val="00245BC1"/>
    <w:rsid w:val="002A041A"/>
    <w:rsid w:val="004C3F23"/>
    <w:rsid w:val="006E08CC"/>
    <w:rsid w:val="007F79FD"/>
    <w:rsid w:val="00841A6A"/>
    <w:rsid w:val="00A211F5"/>
    <w:rsid w:val="00D5718A"/>
    <w:rsid w:val="00DB05C0"/>
    <w:rsid w:val="00FA42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EE6A"/>
  <w15:chartTrackingRefBased/>
  <w15:docId w15:val="{CA153778-27D8-43EC-8C6D-B6A5F5AB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9FD"/>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F7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7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9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9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9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9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7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9FD"/>
    <w:rPr>
      <w:rFonts w:eastAsiaTheme="majorEastAsia" w:cstheme="majorBidi"/>
      <w:color w:val="272727" w:themeColor="text1" w:themeTint="D8"/>
    </w:rPr>
  </w:style>
  <w:style w:type="paragraph" w:styleId="Title">
    <w:name w:val="Title"/>
    <w:basedOn w:val="Normal"/>
    <w:next w:val="Normal"/>
    <w:link w:val="TitleChar"/>
    <w:uiPriority w:val="10"/>
    <w:qFormat/>
    <w:rsid w:val="007F79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9FD"/>
    <w:pPr>
      <w:spacing w:before="160"/>
      <w:jc w:val="center"/>
    </w:pPr>
    <w:rPr>
      <w:i/>
      <w:iCs/>
      <w:color w:val="404040" w:themeColor="text1" w:themeTint="BF"/>
    </w:rPr>
  </w:style>
  <w:style w:type="character" w:customStyle="1" w:styleId="QuoteChar">
    <w:name w:val="Quote Char"/>
    <w:basedOn w:val="DefaultParagraphFont"/>
    <w:link w:val="Quote"/>
    <w:uiPriority w:val="29"/>
    <w:rsid w:val="007F79FD"/>
    <w:rPr>
      <w:i/>
      <w:iCs/>
      <w:color w:val="404040" w:themeColor="text1" w:themeTint="BF"/>
    </w:rPr>
  </w:style>
  <w:style w:type="paragraph" w:styleId="ListParagraph">
    <w:name w:val="List Paragraph"/>
    <w:aliases w:val="List Paragraph1,List Paragraph11,Capire List Paragraph,Bullet point,L,Recommendation,DDM Gen Text,List Paragraph - bullets,NFP GP Bulleted List,bullet point list,Bullet points,Content descriptions,Bullet Point,Report subheading,Dot Points"/>
    <w:basedOn w:val="Normal"/>
    <w:link w:val="ListParagraphChar"/>
    <w:uiPriority w:val="34"/>
    <w:qFormat/>
    <w:rsid w:val="007F79FD"/>
    <w:pPr>
      <w:ind w:left="720"/>
      <w:contextualSpacing/>
    </w:pPr>
  </w:style>
  <w:style w:type="character" w:styleId="IntenseEmphasis">
    <w:name w:val="Intense Emphasis"/>
    <w:basedOn w:val="DefaultParagraphFont"/>
    <w:uiPriority w:val="21"/>
    <w:qFormat/>
    <w:rsid w:val="007F79FD"/>
    <w:rPr>
      <w:i/>
      <w:iCs/>
      <w:color w:val="0F4761" w:themeColor="accent1" w:themeShade="BF"/>
    </w:rPr>
  </w:style>
  <w:style w:type="paragraph" w:styleId="IntenseQuote">
    <w:name w:val="Intense Quote"/>
    <w:basedOn w:val="Normal"/>
    <w:next w:val="Normal"/>
    <w:link w:val="IntenseQuoteChar"/>
    <w:uiPriority w:val="30"/>
    <w:qFormat/>
    <w:rsid w:val="007F7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9FD"/>
    <w:rPr>
      <w:i/>
      <w:iCs/>
      <w:color w:val="0F4761" w:themeColor="accent1" w:themeShade="BF"/>
    </w:rPr>
  </w:style>
  <w:style w:type="character" w:styleId="IntenseReference">
    <w:name w:val="Intense Reference"/>
    <w:basedOn w:val="DefaultParagraphFont"/>
    <w:uiPriority w:val="32"/>
    <w:qFormat/>
    <w:rsid w:val="007F79FD"/>
    <w:rPr>
      <w:b/>
      <w:bCs/>
      <w:smallCaps/>
      <w:color w:val="0F4761" w:themeColor="accent1" w:themeShade="BF"/>
      <w:spacing w:val="5"/>
    </w:rPr>
  </w:style>
  <w:style w:type="character" w:customStyle="1" w:styleId="ListParagraphChar">
    <w:name w:val="List Paragraph Char"/>
    <w:aliases w:val="List Paragraph1 Char,List Paragraph11 Char,Capire List Paragraph Char,Bullet point Char,L Char,Recommendation Char,DDM Gen Text Char,List Paragraph - bullets Char,NFP GP Bulleted List Char,bullet point list Char,Bullet points Char"/>
    <w:link w:val="ListParagraph"/>
    <w:uiPriority w:val="34"/>
    <w:rsid w:val="007F79FD"/>
  </w:style>
  <w:style w:type="character" w:styleId="Hyperlink">
    <w:name w:val="Hyperlink"/>
    <w:uiPriority w:val="99"/>
    <w:unhideWhenUsed/>
    <w:rsid w:val="007F79FD"/>
    <w:rPr>
      <w:color w:val="0563C1"/>
      <w:u w:val="single"/>
    </w:rPr>
  </w:style>
  <w:style w:type="character" w:styleId="Emphasis">
    <w:name w:val="Emphasis"/>
    <w:basedOn w:val="DefaultParagraphFont"/>
    <w:uiPriority w:val="20"/>
    <w:qFormat/>
    <w:rsid w:val="007F79FD"/>
    <w:rPr>
      <w:i/>
      <w:iCs/>
    </w:rPr>
  </w:style>
  <w:style w:type="paragraph" w:styleId="Header">
    <w:name w:val="header"/>
    <w:basedOn w:val="Normal"/>
    <w:link w:val="HeaderChar"/>
    <w:uiPriority w:val="99"/>
    <w:unhideWhenUsed/>
    <w:rsid w:val="007F79FD"/>
    <w:pPr>
      <w:tabs>
        <w:tab w:val="center" w:pos="4513"/>
        <w:tab w:val="right" w:pos="9026"/>
      </w:tabs>
    </w:pPr>
  </w:style>
  <w:style w:type="character" w:customStyle="1" w:styleId="HeaderChar">
    <w:name w:val="Header Char"/>
    <w:basedOn w:val="DefaultParagraphFont"/>
    <w:link w:val="Header"/>
    <w:uiPriority w:val="99"/>
    <w:rsid w:val="007F79FD"/>
    <w:rPr>
      <w:rFonts w:ascii="Calibri" w:eastAsia="Calibri" w:hAnsi="Calibri" w:cs="Times New Roman"/>
      <w:kern w:val="0"/>
      <w14:ligatures w14:val="none"/>
    </w:rPr>
  </w:style>
  <w:style w:type="paragraph" w:styleId="Footer">
    <w:name w:val="footer"/>
    <w:basedOn w:val="Normal"/>
    <w:link w:val="FooterChar"/>
    <w:uiPriority w:val="99"/>
    <w:unhideWhenUsed/>
    <w:rsid w:val="007F79FD"/>
    <w:pPr>
      <w:tabs>
        <w:tab w:val="center" w:pos="4513"/>
        <w:tab w:val="right" w:pos="9026"/>
      </w:tabs>
    </w:pPr>
  </w:style>
  <w:style w:type="character" w:customStyle="1" w:styleId="FooterChar">
    <w:name w:val="Footer Char"/>
    <w:basedOn w:val="DefaultParagraphFont"/>
    <w:link w:val="Footer"/>
    <w:uiPriority w:val="99"/>
    <w:rsid w:val="007F79F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0378E01CF3C42A3D9D004C8F2A783" ma:contentTypeVersion="16" ma:contentTypeDescription="Create a new document." ma:contentTypeScope="" ma:versionID="0ef342edae8f18f28c07cdb8f66ebbdd">
  <xsd:schema xmlns:xsd="http://www.w3.org/2001/XMLSchema" xmlns:xs="http://www.w3.org/2001/XMLSchema" xmlns:p="http://schemas.microsoft.com/office/2006/metadata/properties" xmlns:ns2="06de8cc4-6e56-4a19-bc7b-0478443555ac" xmlns:ns3="c34bcc29-9ca5-44ad-b673-234b3dea95ce" targetNamespace="http://schemas.microsoft.com/office/2006/metadata/properties" ma:root="true" ma:fieldsID="4aba47eef39e19f0f44cb0579fd49efb" ns2:_="" ns3:_="">
    <xsd:import namespace="06de8cc4-6e56-4a19-bc7b-0478443555ac"/>
    <xsd:import namespace="c34bcc29-9ca5-44ad-b673-234b3dea95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e8cc4-6e56-4a19-bc7b-047844355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3c4fc5-b31e-48ae-827a-fc8f2b1e8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bcc29-9ca5-44ad-b673-234b3dea95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d8f42c7-ba2d-4823-b481-f1574608af91}" ma:internalName="TaxCatchAll" ma:showField="CatchAllData" ma:web="c34bcc29-9ca5-44ad-b673-234b3dea95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4bcc29-9ca5-44ad-b673-234b3dea95ce" xsi:nil="true"/>
    <lcf76f155ced4ddcb4097134ff3c332f xmlns="06de8cc4-6e56-4a19-bc7b-0478443555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B3106-DB12-4F74-9F5E-80F08B464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e8cc4-6e56-4a19-bc7b-0478443555ac"/>
    <ds:schemaRef ds:uri="c34bcc29-9ca5-44ad-b673-234b3dea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42D8C-D99E-41C4-A862-8DC4BEE20C22}">
  <ds:schemaRefs>
    <ds:schemaRef ds:uri="http://schemas.microsoft.com/office/2006/metadata/properties"/>
    <ds:schemaRef ds:uri="http://schemas.microsoft.com/office/infopath/2007/PartnerControls"/>
    <ds:schemaRef ds:uri="c34bcc29-9ca5-44ad-b673-234b3dea95ce"/>
    <ds:schemaRef ds:uri="06de8cc4-6e56-4a19-bc7b-0478443555ac"/>
  </ds:schemaRefs>
</ds:datastoreItem>
</file>

<file path=customXml/itemProps3.xml><?xml version="1.0" encoding="utf-8"?>
<ds:datastoreItem xmlns:ds="http://schemas.openxmlformats.org/officeDocument/2006/customXml" ds:itemID="{3458A7EB-88A6-4114-A6C0-169C5004C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Gailann Benjamin</dc:creator>
  <cp:keywords/>
  <dc:description/>
  <cp:lastModifiedBy>Gailann Benjamin</cp:lastModifiedBy>
  <cp:revision>3</cp:revision>
  <dcterms:created xsi:type="dcterms:W3CDTF">2024-12-04T05:13:00Z</dcterms:created>
  <dcterms:modified xsi:type="dcterms:W3CDTF">2024-12-04T05:15:00Z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0x01010089B0378E01CF3C42A3D9D004C8F2A783</vt:lpwstr>
  </property>
  <property fmtid="{D5CDD505-2E9C-101B-9397-08002B2CF9AE}" pid="3" name="MediaServiceImageTags">
    <vt:lpwstr/>
  </property>
</Properties>
</file>